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27" w:rsidRDefault="000C6B27">
      <w:pPr>
        <w:spacing w:after="0" w:line="259" w:lineRule="auto"/>
        <w:ind w:left="10" w:right="84" w:hanging="10"/>
        <w:jc w:val="center"/>
        <w:rPr>
          <w:b/>
        </w:rPr>
      </w:pPr>
      <w:r>
        <w:rPr>
          <w:b/>
        </w:rPr>
        <w:t>JOB'S DAUGHTERS INTERNATIONAL</w:t>
      </w:r>
    </w:p>
    <w:p w:rsidR="00182500" w:rsidRDefault="003E285D">
      <w:pPr>
        <w:spacing w:after="0" w:line="259" w:lineRule="auto"/>
        <w:ind w:left="10" w:right="84" w:hanging="10"/>
        <w:jc w:val="center"/>
        <w:rPr>
          <w:b/>
        </w:rPr>
      </w:pPr>
      <w:r>
        <w:rPr>
          <w:b/>
        </w:rPr>
        <w:t xml:space="preserve">STANDARD OPERATING PROCEDURES  </w:t>
      </w:r>
    </w:p>
    <w:p w:rsidR="00A175EB" w:rsidRDefault="003E285D">
      <w:pPr>
        <w:spacing w:after="0" w:line="259" w:lineRule="auto"/>
        <w:ind w:left="10" w:right="84" w:hanging="10"/>
        <w:jc w:val="center"/>
      </w:pPr>
      <w:r>
        <w:rPr>
          <w:b/>
        </w:rPr>
        <w:t xml:space="preserve">OF A BETHEL GUARDIAN COUNCIL </w:t>
      </w:r>
    </w:p>
    <w:p w:rsidR="00A175EB" w:rsidRDefault="003E285D">
      <w:pPr>
        <w:spacing w:after="0" w:line="259" w:lineRule="auto"/>
        <w:ind w:left="0" w:right="32" w:firstLine="0"/>
        <w:jc w:val="center"/>
      </w:pPr>
      <w:r>
        <w:rPr>
          <w:b/>
        </w:rPr>
        <w:t xml:space="preserve"> </w:t>
      </w:r>
    </w:p>
    <w:p w:rsidR="00A175EB" w:rsidRDefault="003E285D">
      <w:pPr>
        <w:spacing w:after="0" w:line="259" w:lineRule="auto"/>
        <w:ind w:left="10" w:right="82" w:hanging="10"/>
        <w:jc w:val="center"/>
      </w:pPr>
      <w:r>
        <w:rPr>
          <w:b/>
        </w:rPr>
        <w:t xml:space="preserve">SOP-BGC-1 </w:t>
      </w:r>
    </w:p>
    <w:p w:rsidR="00A175EB" w:rsidRDefault="003E285D">
      <w:pPr>
        <w:spacing w:after="0" w:line="259" w:lineRule="auto"/>
        <w:ind w:left="10" w:right="82" w:hanging="10"/>
        <w:jc w:val="center"/>
      </w:pPr>
      <w:r>
        <w:rPr>
          <w:b/>
        </w:rPr>
        <w:t xml:space="preserve">APPEALS </w:t>
      </w:r>
    </w:p>
    <w:p w:rsidR="00A175EB" w:rsidRDefault="003E285D">
      <w:pPr>
        <w:spacing w:after="0" w:line="259" w:lineRule="auto"/>
        <w:ind w:left="0" w:right="0" w:firstLine="0"/>
        <w:jc w:val="left"/>
      </w:pPr>
      <w:r>
        <w:rPr>
          <w:b/>
        </w:rPr>
        <w:t xml:space="preserve"> </w:t>
      </w:r>
    </w:p>
    <w:p w:rsidR="00A175EB" w:rsidRDefault="003E285D">
      <w:pPr>
        <w:pStyle w:val="Heading1"/>
        <w:ind w:left="-5" w:right="0"/>
        <w:jc w:val="left"/>
      </w:pPr>
      <w:r>
        <w:t>Section 1.  Privilege</w:t>
      </w:r>
      <w:r>
        <w:rPr>
          <w:b w:val="0"/>
        </w:rPr>
        <w:t xml:space="preserve"> </w:t>
      </w:r>
    </w:p>
    <w:p w:rsidR="00A175EB" w:rsidRDefault="003E285D">
      <w:pPr>
        <w:ind w:left="715" w:right="66"/>
      </w:pPr>
      <w:r>
        <w:t xml:space="preserve">(a) In the event of a disagreement among members of a BGC which cannot be amicably reconciled by the Bethel Guardian, or if one or more members of the BGC are aggrieved by an act of the Grand Guardian, the aggrieved parties may appeal the decision or ruling in the manner provided in the Law of Appeals and Grievances.  (See SOP-SGC-1) </w:t>
      </w:r>
    </w:p>
    <w:p w:rsidR="00A175EB" w:rsidRDefault="003E285D">
      <w:pPr>
        <w:spacing w:after="0" w:line="259" w:lineRule="auto"/>
        <w:ind w:left="0" w:right="0" w:firstLine="0"/>
        <w:jc w:val="left"/>
      </w:pPr>
      <w:r>
        <w:t xml:space="preserve"> </w:t>
      </w:r>
    </w:p>
    <w:p w:rsidR="00A175EB" w:rsidRDefault="003E285D">
      <w:pPr>
        <w:pStyle w:val="Heading1"/>
        <w:ind w:left="-5" w:right="0"/>
        <w:jc w:val="left"/>
      </w:pPr>
      <w:r>
        <w:t>Section 2.  Restriction</w:t>
      </w:r>
      <w:r>
        <w:rPr>
          <w:b w:val="0"/>
        </w:rPr>
        <w:t xml:space="preserve"> </w:t>
      </w:r>
    </w:p>
    <w:p w:rsidR="00A175EB" w:rsidRDefault="003E285D">
      <w:pPr>
        <w:ind w:left="720" w:right="66" w:hanging="360"/>
      </w:pPr>
      <w:r>
        <w:t>(a)</w:t>
      </w:r>
      <w:r>
        <w:rPr>
          <w:rFonts w:ascii="Arial" w:eastAsia="Arial" w:hAnsi="Arial" w:cs="Arial"/>
        </w:rPr>
        <w:t xml:space="preserve"> </w:t>
      </w:r>
      <w:r>
        <w:t xml:space="preserve">If no appeal is taken within sixty (60) days after the acts or decisions, the aggrieved party or parties shall lose the right of appeal.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182500" w:rsidRDefault="00182500">
      <w:pPr>
        <w:spacing w:after="0" w:line="259" w:lineRule="auto"/>
        <w:ind w:left="0" w:right="0" w:firstLine="0"/>
        <w:jc w:val="left"/>
      </w:pPr>
    </w:p>
    <w:p w:rsidR="00182500" w:rsidRDefault="00182500">
      <w:pPr>
        <w:spacing w:after="0" w:line="259" w:lineRule="auto"/>
        <w:ind w:left="0" w:right="0" w:firstLine="0"/>
        <w:jc w:val="left"/>
      </w:pPr>
    </w:p>
    <w:p w:rsidR="00182500" w:rsidRDefault="00182500">
      <w:pPr>
        <w:spacing w:after="0" w:line="259" w:lineRule="auto"/>
        <w:ind w:left="0" w:right="0" w:firstLine="0"/>
        <w:jc w:val="left"/>
      </w:pPr>
    </w:p>
    <w:p w:rsidR="00182500" w:rsidRDefault="00182500">
      <w:pPr>
        <w:spacing w:after="0" w:line="259" w:lineRule="auto"/>
        <w:ind w:left="0" w:right="0" w:firstLine="0"/>
        <w:jc w:val="left"/>
      </w:pPr>
    </w:p>
    <w:p w:rsidR="00182500" w:rsidRDefault="00182500">
      <w:pPr>
        <w:spacing w:after="0" w:line="259" w:lineRule="auto"/>
        <w:ind w:left="0" w:right="0" w:firstLine="0"/>
        <w:jc w:val="left"/>
      </w:pPr>
    </w:p>
    <w:p w:rsidR="00182500" w:rsidRDefault="00182500">
      <w:pPr>
        <w:spacing w:after="0" w:line="259" w:lineRule="auto"/>
        <w:ind w:left="0" w:right="0" w:firstLine="0"/>
        <w:jc w:val="left"/>
      </w:pP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rsidP="006E038B">
      <w:pPr>
        <w:spacing w:after="0" w:line="259" w:lineRule="auto"/>
        <w:ind w:left="0" w:right="0" w:firstLine="0"/>
        <w:jc w:val="right"/>
      </w:pPr>
      <w:r>
        <w:t xml:space="preserve"> </w:t>
      </w:r>
      <w:r w:rsidR="006E038B">
        <w:t xml:space="preserve">MI-SOP-BGC 1 </w:t>
      </w:r>
    </w:p>
    <w:p w:rsidR="00A175EB" w:rsidRDefault="003E285D">
      <w:pPr>
        <w:spacing w:after="0" w:line="259" w:lineRule="auto"/>
        <w:ind w:left="0" w:right="0" w:firstLine="0"/>
        <w:jc w:val="left"/>
      </w:pPr>
      <w:r>
        <w:lastRenderedPageBreak/>
        <w:t xml:space="preserve"> </w:t>
      </w:r>
    </w:p>
    <w:p w:rsidR="00F0023F" w:rsidRDefault="00F0023F" w:rsidP="0003799C">
      <w:pPr>
        <w:spacing w:after="0" w:line="259" w:lineRule="auto"/>
        <w:ind w:left="0" w:right="0" w:firstLine="0"/>
        <w:jc w:val="center"/>
      </w:pPr>
      <w:r>
        <w:rPr>
          <w:b/>
        </w:rPr>
        <w:t>SOP-BGC-2</w:t>
      </w:r>
    </w:p>
    <w:p w:rsidR="00A175EB" w:rsidRDefault="003E285D" w:rsidP="00F0023F">
      <w:pPr>
        <w:spacing w:after="0" w:line="265" w:lineRule="auto"/>
        <w:ind w:left="10" w:right="82" w:hanging="10"/>
        <w:jc w:val="center"/>
      </w:pPr>
      <w:r>
        <w:rPr>
          <w:b/>
        </w:rPr>
        <w:t xml:space="preserve">COMMITTEE CHAIRMAN </w:t>
      </w:r>
    </w:p>
    <w:p w:rsidR="00A175EB" w:rsidRDefault="003E285D">
      <w:pPr>
        <w:spacing w:after="0" w:line="259" w:lineRule="auto"/>
        <w:ind w:left="0" w:right="0" w:firstLine="0"/>
        <w:jc w:val="left"/>
      </w:pPr>
      <w:r>
        <w:rPr>
          <w:b/>
        </w:rPr>
        <w:t xml:space="preserve"> </w:t>
      </w:r>
    </w:p>
    <w:p w:rsidR="00A175EB" w:rsidRDefault="003E285D">
      <w:pPr>
        <w:pStyle w:val="Heading1"/>
        <w:ind w:left="-5" w:right="0"/>
        <w:jc w:val="left"/>
      </w:pPr>
      <w:r>
        <w:t>Section 1.  Appointment</w:t>
      </w:r>
      <w:r>
        <w:rPr>
          <w:b w:val="0"/>
        </w:rPr>
        <w:t xml:space="preserve"> </w:t>
      </w:r>
    </w:p>
    <w:p w:rsidR="00A175EB" w:rsidRDefault="003E285D">
      <w:pPr>
        <w:ind w:left="715" w:right="66"/>
      </w:pPr>
      <w:r>
        <w:t xml:space="preserve">(a) </w:t>
      </w:r>
      <w:r w:rsidR="00F0023F">
        <w:t xml:space="preserve">         </w:t>
      </w:r>
      <w:r>
        <w:t xml:space="preserve">Immediately after members of the BGC are installed, they may appoint adult committees. Such committees may bear the same designation as listed in Article III above, which are not held by an Associate Member of the BGC.  The title of “Chairman” shall be used instead of “Promoter” or “Director”.  Such appointments shall be reported to the Supreme Guardian and the Supreme Deputy for Bethels under Supreme or to the Grand Guardian for Bethels under a GGC and acknowledged prior to said appointment taking effect. </w:t>
      </w:r>
    </w:p>
    <w:p w:rsidR="00A175EB" w:rsidRDefault="003E285D">
      <w:pPr>
        <w:spacing w:after="0" w:line="259" w:lineRule="auto"/>
        <w:ind w:left="0" w:right="0" w:firstLine="0"/>
        <w:jc w:val="left"/>
      </w:pPr>
      <w:r>
        <w:rPr>
          <w:b/>
        </w:rPr>
        <w:t xml:space="preserve"> </w:t>
      </w:r>
    </w:p>
    <w:p w:rsidR="00A175EB" w:rsidRDefault="003E285D">
      <w:pPr>
        <w:pStyle w:val="Heading1"/>
        <w:ind w:left="-5" w:right="0"/>
        <w:jc w:val="left"/>
      </w:pPr>
      <w:r>
        <w:t>Section 2.  Eligibility</w:t>
      </w:r>
      <w:r>
        <w:rPr>
          <w:b w:val="0"/>
        </w:rPr>
        <w:t xml:space="preserve"> </w:t>
      </w:r>
    </w:p>
    <w:p w:rsidR="00A175EB" w:rsidRDefault="003E285D">
      <w:pPr>
        <w:ind w:left="715" w:right="66"/>
      </w:pPr>
      <w:r>
        <w:t xml:space="preserve">(a) </w:t>
      </w:r>
      <w:r w:rsidR="00F0023F">
        <w:t xml:space="preserve">       </w:t>
      </w:r>
      <w:r>
        <w:t xml:space="preserve">Those eligible for appointment as members of committees of a BGC shall have the same qualifications as for appointment to a BGC.  Appointees working with JDI in the USA, Canada or Australia shall be on the current list of CAVs provided by the Executive Manager.  </w:t>
      </w:r>
      <w:r>
        <w:rPr>
          <w:rFonts w:ascii="Cambria" w:eastAsia="Cambria" w:hAnsi="Cambria" w:cs="Cambria"/>
          <w:sz w:val="22"/>
        </w:rPr>
        <w:tab/>
      </w:r>
    </w:p>
    <w:p w:rsidR="00A175EB" w:rsidRDefault="003E285D">
      <w:pPr>
        <w:spacing w:after="0" w:line="259" w:lineRule="auto"/>
        <w:ind w:left="0" w:right="0" w:firstLine="0"/>
        <w:jc w:val="left"/>
      </w:pPr>
      <w:r>
        <w:t xml:space="preserve"> </w:t>
      </w:r>
    </w:p>
    <w:p w:rsidR="00A175EB" w:rsidRDefault="003E285D">
      <w:pPr>
        <w:spacing w:after="0" w:line="259" w:lineRule="auto"/>
        <w:ind w:left="19" w:right="0"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03799C" w:rsidRDefault="0003799C">
      <w:pPr>
        <w:spacing w:after="0" w:line="259" w:lineRule="auto"/>
        <w:ind w:left="0" w:right="31" w:firstLine="0"/>
        <w:jc w:val="center"/>
        <w:rPr>
          <w:b/>
        </w:rPr>
      </w:pPr>
    </w:p>
    <w:p w:rsidR="0003799C" w:rsidRDefault="0003799C">
      <w:pPr>
        <w:spacing w:after="0" w:line="259" w:lineRule="auto"/>
        <w:ind w:left="0" w:right="31" w:firstLine="0"/>
        <w:jc w:val="center"/>
        <w:rPr>
          <w:b/>
        </w:rPr>
      </w:pP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182500" w:rsidRDefault="00182500">
      <w:pPr>
        <w:spacing w:after="0" w:line="259" w:lineRule="auto"/>
        <w:ind w:left="0" w:right="31" w:firstLine="0"/>
        <w:jc w:val="center"/>
        <w:rPr>
          <w:b/>
        </w:rPr>
      </w:pPr>
    </w:p>
    <w:p w:rsidR="00182500" w:rsidRDefault="00182500">
      <w:pPr>
        <w:spacing w:after="0" w:line="259" w:lineRule="auto"/>
        <w:ind w:left="0" w:right="31" w:firstLine="0"/>
        <w:jc w:val="center"/>
        <w:rPr>
          <w:b/>
        </w:rPr>
      </w:pPr>
    </w:p>
    <w:p w:rsidR="00182500" w:rsidRDefault="00182500">
      <w:pPr>
        <w:spacing w:after="0" w:line="259" w:lineRule="auto"/>
        <w:ind w:left="0" w:right="31" w:firstLine="0"/>
        <w:jc w:val="center"/>
        <w:rPr>
          <w:b/>
        </w:rPr>
      </w:pP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6E038B" w:rsidRPr="002E2AB7" w:rsidRDefault="002E2AB7" w:rsidP="002E2AB7">
      <w:pPr>
        <w:spacing w:after="0" w:line="259" w:lineRule="auto"/>
        <w:ind w:left="10" w:right="80" w:hanging="10"/>
        <w:jc w:val="right"/>
      </w:pPr>
      <w:r>
        <w:t>MI-SOP-BGC 2</w:t>
      </w:r>
    </w:p>
    <w:p w:rsidR="00616EC2" w:rsidRDefault="00616EC2">
      <w:pPr>
        <w:spacing w:after="0" w:line="259" w:lineRule="auto"/>
        <w:ind w:left="10" w:right="80" w:hanging="10"/>
        <w:jc w:val="center"/>
        <w:rPr>
          <w:b/>
        </w:rPr>
      </w:pPr>
      <w:r>
        <w:rPr>
          <w:b/>
        </w:rPr>
        <w:lastRenderedPageBreak/>
        <w:t>SOP-BGC-3</w:t>
      </w:r>
    </w:p>
    <w:p w:rsidR="00A175EB" w:rsidRDefault="003E285D">
      <w:pPr>
        <w:spacing w:after="0" w:line="259" w:lineRule="auto"/>
        <w:ind w:left="10" w:right="80" w:hanging="10"/>
        <w:jc w:val="center"/>
      </w:pPr>
      <w:r>
        <w:rPr>
          <w:b/>
        </w:rPr>
        <w:t xml:space="preserve">DISCIPLINE </w:t>
      </w:r>
    </w:p>
    <w:p w:rsidR="00A175EB" w:rsidRDefault="003E285D">
      <w:pPr>
        <w:spacing w:after="0" w:line="259" w:lineRule="auto"/>
        <w:ind w:left="0" w:right="0" w:firstLine="0"/>
        <w:jc w:val="left"/>
      </w:pPr>
      <w:r>
        <w:rPr>
          <w:b/>
        </w:rPr>
        <w:t xml:space="preserve"> </w:t>
      </w:r>
    </w:p>
    <w:p w:rsidR="00A175EB" w:rsidRDefault="003E285D">
      <w:pPr>
        <w:pStyle w:val="Heading1"/>
        <w:ind w:left="-5" w:right="0"/>
        <w:jc w:val="left"/>
      </w:pPr>
      <w:r>
        <w:t>Section 1.  Members of the BGC</w:t>
      </w:r>
      <w:r>
        <w:rPr>
          <w:b w:val="0"/>
        </w:rPr>
        <w:t xml:space="preserve"> </w:t>
      </w:r>
    </w:p>
    <w:p w:rsidR="00A175EB" w:rsidRDefault="003E285D">
      <w:pPr>
        <w:numPr>
          <w:ilvl w:val="0"/>
          <w:numId w:val="1"/>
        </w:numPr>
        <w:ind w:right="66" w:hanging="720"/>
      </w:pPr>
      <w:r>
        <w:t xml:space="preserve">Members of the BGC may be removed from office by the Supreme/Grand Guardian for cause, insubordination, misconduct, or unlawful withholding or retention of any property of a Bethel.  Notice of such removal shall be given in writing, stating the cause of the removal and outlining the process of appeal.  </w:t>
      </w:r>
    </w:p>
    <w:p w:rsidR="00A175EB" w:rsidRDefault="003E285D">
      <w:pPr>
        <w:spacing w:after="0" w:line="259" w:lineRule="auto"/>
        <w:ind w:left="0" w:right="158" w:firstLine="0"/>
        <w:jc w:val="center"/>
      </w:pPr>
      <w:r>
        <w:t xml:space="preserve">This does not deny anyone removed the right of appeal as elsewhere provided.  (See SOP-SGC-1) </w:t>
      </w:r>
    </w:p>
    <w:p w:rsidR="00A175EB" w:rsidRDefault="003E285D">
      <w:pPr>
        <w:numPr>
          <w:ilvl w:val="0"/>
          <w:numId w:val="1"/>
        </w:numPr>
        <w:ind w:right="66" w:hanging="720"/>
      </w:pPr>
      <w:r>
        <w:t xml:space="preserve">Executive members of the BGC who are delinquent in paying fines levied in SOP-BGC-4, shall lose the right of membership in the GGC. </w:t>
      </w:r>
    </w:p>
    <w:p w:rsidR="00A175EB" w:rsidRDefault="003E285D">
      <w:pPr>
        <w:spacing w:after="0" w:line="259" w:lineRule="auto"/>
        <w:ind w:left="0" w:right="0" w:firstLine="0"/>
        <w:jc w:val="left"/>
      </w:pPr>
      <w:r>
        <w:t xml:space="preserve"> </w:t>
      </w:r>
    </w:p>
    <w:p w:rsidR="00A175EB" w:rsidRDefault="003E285D">
      <w:pPr>
        <w:pStyle w:val="Heading1"/>
        <w:ind w:left="-5" w:right="0"/>
        <w:jc w:val="left"/>
      </w:pPr>
      <w:r>
        <w:t>Section 2.  Bethel Members</w:t>
      </w:r>
      <w:r>
        <w:rPr>
          <w:b w:val="0"/>
        </w:rPr>
        <w:t xml:space="preserve"> </w:t>
      </w:r>
    </w:p>
    <w:p w:rsidR="00A175EB" w:rsidRDefault="003E285D">
      <w:pPr>
        <w:numPr>
          <w:ilvl w:val="0"/>
          <w:numId w:val="2"/>
        </w:numPr>
        <w:ind w:right="66" w:hanging="720"/>
      </w:pPr>
      <w:r>
        <w:t xml:space="preserve">The Executive members of the BGC shall have authority over the following: </w:t>
      </w:r>
    </w:p>
    <w:p w:rsidR="00A175EB" w:rsidRDefault="003E285D">
      <w:pPr>
        <w:numPr>
          <w:ilvl w:val="1"/>
          <w:numId w:val="2"/>
        </w:numPr>
        <w:ind w:right="66" w:hanging="721"/>
      </w:pPr>
      <w:r>
        <w:t xml:space="preserve">Suspension or expulsion of a Bethel member.  </w:t>
      </w:r>
    </w:p>
    <w:p w:rsidR="00A175EB" w:rsidRDefault="003E285D">
      <w:pPr>
        <w:numPr>
          <w:ilvl w:val="1"/>
          <w:numId w:val="2"/>
        </w:numPr>
        <w:ind w:right="66" w:hanging="721"/>
      </w:pPr>
      <w:r>
        <w:t xml:space="preserve">Suspension for a definite interval of the right of any Bethel officer to function in her office. </w:t>
      </w:r>
    </w:p>
    <w:p w:rsidR="00A175EB" w:rsidRDefault="003E285D">
      <w:pPr>
        <w:numPr>
          <w:ilvl w:val="1"/>
          <w:numId w:val="2"/>
        </w:numPr>
        <w:ind w:right="66" w:hanging="721"/>
      </w:pPr>
      <w:r>
        <w:t xml:space="preserve">Removal of a Bethel officer from office. </w:t>
      </w:r>
    </w:p>
    <w:p w:rsidR="00A175EB" w:rsidRDefault="003E285D">
      <w:pPr>
        <w:numPr>
          <w:ilvl w:val="1"/>
          <w:numId w:val="2"/>
        </w:numPr>
        <w:ind w:right="66" w:hanging="721"/>
      </w:pPr>
      <w:r>
        <w:t xml:space="preserve">Reprimand of an officer or member. </w:t>
      </w:r>
    </w:p>
    <w:p w:rsidR="00A175EB" w:rsidRDefault="003E285D">
      <w:pPr>
        <w:numPr>
          <w:ilvl w:val="1"/>
          <w:numId w:val="2"/>
        </w:numPr>
        <w:ind w:right="66" w:hanging="721"/>
      </w:pPr>
      <w:r>
        <w:t xml:space="preserve">Probation for a definite period. </w:t>
      </w:r>
    </w:p>
    <w:p w:rsidR="00A175EB" w:rsidRDefault="003E285D">
      <w:pPr>
        <w:numPr>
          <w:ilvl w:val="0"/>
          <w:numId w:val="2"/>
        </w:numPr>
        <w:ind w:right="66" w:hanging="720"/>
      </w:pPr>
      <w:r>
        <w:t xml:space="preserve">Notice in writing stating cause of discipline and outlining the process of appeal shall be sent to the Bethel member and her parents/guardians, (if a minor). </w:t>
      </w:r>
    </w:p>
    <w:p w:rsidR="00A175EB" w:rsidRDefault="003E285D">
      <w:pPr>
        <w:numPr>
          <w:ilvl w:val="0"/>
          <w:numId w:val="2"/>
        </w:numPr>
        <w:ind w:right="66" w:hanging="720"/>
      </w:pPr>
      <w:r>
        <w:t xml:space="preserve">Discipline as described in paragraph (b) or suspension for nonpayment of dues shall not be reported to the Bethel members or discussed in a Bethel meeting.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A175EB">
      <w:pPr>
        <w:spacing w:after="0" w:line="259" w:lineRule="auto"/>
        <w:ind w:left="0" w:right="31" w:firstLine="0"/>
        <w:jc w:val="center"/>
      </w:pP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085B47" w:rsidRPr="006E038B" w:rsidRDefault="00085B47" w:rsidP="006E038B">
      <w:pPr>
        <w:spacing w:after="0" w:line="259" w:lineRule="auto"/>
        <w:ind w:left="0" w:right="31" w:firstLine="0"/>
        <w:jc w:val="right"/>
        <w:rPr>
          <w:b/>
        </w:rPr>
      </w:pPr>
      <w:r w:rsidRPr="006E038B">
        <w:rPr>
          <w:b/>
        </w:rPr>
        <w:br/>
      </w:r>
    </w:p>
    <w:p w:rsidR="002E2AB7" w:rsidRDefault="002E2AB7" w:rsidP="006E038B">
      <w:pPr>
        <w:spacing w:after="160" w:line="259" w:lineRule="auto"/>
        <w:ind w:left="0" w:right="0" w:firstLine="0"/>
        <w:jc w:val="right"/>
      </w:pPr>
    </w:p>
    <w:p w:rsidR="00182500" w:rsidRDefault="00182500" w:rsidP="006E038B">
      <w:pPr>
        <w:spacing w:after="160" w:line="259" w:lineRule="auto"/>
        <w:ind w:left="0" w:right="0" w:firstLine="0"/>
        <w:jc w:val="right"/>
      </w:pPr>
    </w:p>
    <w:p w:rsidR="00182500" w:rsidRDefault="00182500" w:rsidP="006E038B">
      <w:pPr>
        <w:spacing w:after="160" w:line="259" w:lineRule="auto"/>
        <w:ind w:left="0" w:right="0" w:firstLine="0"/>
        <w:jc w:val="right"/>
      </w:pPr>
    </w:p>
    <w:p w:rsidR="002E2AB7" w:rsidRDefault="002E2AB7" w:rsidP="006E038B">
      <w:pPr>
        <w:spacing w:after="160" w:line="259" w:lineRule="auto"/>
        <w:ind w:left="0" w:right="0" w:firstLine="0"/>
        <w:jc w:val="right"/>
      </w:pPr>
    </w:p>
    <w:p w:rsidR="002E2AB7" w:rsidRDefault="002E2AB7" w:rsidP="006E038B">
      <w:pPr>
        <w:spacing w:after="160" w:line="259" w:lineRule="auto"/>
        <w:ind w:left="0" w:right="0" w:firstLine="0"/>
        <w:jc w:val="right"/>
      </w:pPr>
    </w:p>
    <w:p w:rsidR="002E2AB7" w:rsidRDefault="002E2AB7" w:rsidP="006E038B">
      <w:pPr>
        <w:spacing w:after="160" w:line="259" w:lineRule="auto"/>
        <w:ind w:left="0" w:right="0" w:firstLine="0"/>
        <w:jc w:val="right"/>
      </w:pPr>
    </w:p>
    <w:p w:rsidR="002E2AB7" w:rsidRDefault="002E2AB7" w:rsidP="006E038B">
      <w:pPr>
        <w:spacing w:after="160" w:line="259" w:lineRule="auto"/>
        <w:ind w:left="0" w:right="0" w:firstLine="0"/>
        <w:jc w:val="right"/>
      </w:pPr>
    </w:p>
    <w:p w:rsidR="00085B47" w:rsidRPr="00C6207B" w:rsidRDefault="00616EC2" w:rsidP="006E038B">
      <w:pPr>
        <w:spacing w:after="160" w:line="259" w:lineRule="auto"/>
        <w:ind w:left="0" w:right="0" w:firstLine="0"/>
        <w:jc w:val="right"/>
      </w:pPr>
      <w:r w:rsidRPr="00C6207B">
        <w:t xml:space="preserve">MI-SOP-BGC-3 </w:t>
      </w:r>
      <w:r w:rsidR="00085B47" w:rsidRPr="00C6207B">
        <w:br w:type="page"/>
      </w:r>
    </w:p>
    <w:p w:rsidR="00A175EB" w:rsidRDefault="00044C3D">
      <w:pPr>
        <w:spacing w:after="0" w:line="259" w:lineRule="auto"/>
        <w:ind w:left="0" w:right="31" w:firstLine="0"/>
        <w:jc w:val="center"/>
        <w:rPr>
          <w:b/>
        </w:rPr>
      </w:pPr>
      <w:r>
        <w:rPr>
          <w:b/>
        </w:rPr>
        <w:lastRenderedPageBreak/>
        <w:t>SOP-BGC-4</w:t>
      </w:r>
      <w:r w:rsidR="003E285D">
        <w:rPr>
          <w:b/>
        </w:rPr>
        <w:t xml:space="preserve"> </w:t>
      </w:r>
    </w:p>
    <w:p w:rsidR="00A175EB" w:rsidRDefault="003E285D">
      <w:pPr>
        <w:pStyle w:val="Heading1"/>
        <w:ind w:right="81"/>
      </w:pPr>
      <w:r>
        <w:t xml:space="preserve"> FINES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5" w:right="0" w:hanging="10"/>
        <w:jc w:val="left"/>
      </w:pPr>
      <w:r>
        <w:rPr>
          <w:b/>
        </w:rPr>
        <w:t>Section 1.</w:t>
      </w:r>
      <w:r>
        <w:t xml:space="preserve"> </w:t>
      </w:r>
    </w:p>
    <w:p w:rsidR="00A175EB" w:rsidRDefault="003E285D">
      <w:pPr>
        <w:ind w:left="715" w:right="66"/>
      </w:pPr>
      <w:r>
        <w:t xml:space="preserve">(a) A fine of twenty dollars ($20.00) shall be paid by the Executive members of the BGC who fail to file the annual report on Form 110, 111, 112, 113 or 114 and remit fees by January 31.  An extension of time may be given at the discretion of the Executive Manager or the Grand Secretary.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A175EB" w:rsidRDefault="003E285D">
      <w:pPr>
        <w:spacing w:after="0" w:line="259" w:lineRule="auto"/>
        <w:ind w:left="0" w:right="31" w:firstLine="0"/>
        <w:jc w:val="center"/>
      </w:pPr>
      <w:r>
        <w:rPr>
          <w:b/>
        </w:rPr>
        <w:t xml:space="preserve"> </w:t>
      </w:r>
    </w:p>
    <w:p w:rsidR="002E2AB7" w:rsidRDefault="002E2AB7" w:rsidP="006E038B">
      <w:pPr>
        <w:spacing w:after="0" w:line="259" w:lineRule="auto"/>
        <w:ind w:left="0" w:right="31" w:firstLine="0"/>
        <w:jc w:val="right"/>
      </w:pPr>
    </w:p>
    <w:p w:rsidR="002E2AB7" w:rsidRDefault="002E2AB7" w:rsidP="006E038B">
      <w:pPr>
        <w:spacing w:after="0" w:line="259" w:lineRule="auto"/>
        <w:ind w:left="0" w:right="31" w:firstLine="0"/>
        <w:jc w:val="right"/>
      </w:pPr>
    </w:p>
    <w:p w:rsidR="00182500" w:rsidRDefault="00182500" w:rsidP="006E038B">
      <w:pPr>
        <w:spacing w:after="0" w:line="259" w:lineRule="auto"/>
        <w:ind w:left="0" w:right="31" w:firstLine="0"/>
        <w:jc w:val="right"/>
      </w:pPr>
    </w:p>
    <w:p w:rsidR="00182500" w:rsidRDefault="00182500" w:rsidP="006E038B">
      <w:pPr>
        <w:spacing w:after="0" w:line="259" w:lineRule="auto"/>
        <w:ind w:left="0" w:right="31" w:firstLine="0"/>
        <w:jc w:val="right"/>
      </w:pPr>
    </w:p>
    <w:p w:rsidR="002E2AB7" w:rsidRDefault="002E2AB7" w:rsidP="006E038B">
      <w:pPr>
        <w:spacing w:after="0" w:line="259" w:lineRule="auto"/>
        <w:ind w:left="0" w:right="31" w:firstLine="0"/>
        <w:jc w:val="right"/>
      </w:pPr>
    </w:p>
    <w:p w:rsidR="002E2AB7" w:rsidRDefault="002E2AB7" w:rsidP="006E038B">
      <w:pPr>
        <w:spacing w:after="0" w:line="259" w:lineRule="auto"/>
        <w:ind w:left="0" w:right="31" w:firstLine="0"/>
        <w:jc w:val="right"/>
      </w:pPr>
    </w:p>
    <w:p w:rsidR="002E2AB7" w:rsidRDefault="002E2AB7" w:rsidP="006E038B">
      <w:pPr>
        <w:spacing w:after="0" w:line="259" w:lineRule="auto"/>
        <w:ind w:left="0" w:right="31" w:firstLine="0"/>
        <w:jc w:val="right"/>
      </w:pPr>
    </w:p>
    <w:p w:rsidR="00A175EB" w:rsidRPr="002E2AB7" w:rsidRDefault="00616EC2" w:rsidP="006E038B">
      <w:pPr>
        <w:spacing w:after="0" w:line="259" w:lineRule="auto"/>
        <w:ind w:left="0" w:right="31" w:firstLine="0"/>
        <w:jc w:val="right"/>
      </w:pPr>
      <w:r w:rsidRPr="002E2AB7">
        <w:t xml:space="preserve">MI-SOP-BGC-4 </w:t>
      </w:r>
    </w:p>
    <w:p w:rsidR="00A175EB" w:rsidRDefault="00A175EB">
      <w:pPr>
        <w:spacing w:after="0" w:line="259" w:lineRule="auto"/>
        <w:ind w:left="0" w:right="310" w:firstLine="0"/>
        <w:jc w:val="center"/>
      </w:pPr>
    </w:p>
    <w:p w:rsidR="00A175EB" w:rsidRDefault="003E285D">
      <w:pPr>
        <w:spacing w:after="0" w:line="259" w:lineRule="auto"/>
        <w:ind w:left="10" w:right="360" w:hanging="10"/>
        <w:jc w:val="center"/>
      </w:pPr>
      <w:r>
        <w:rPr>
          <w:b/>
        </w:rPr>
        <w:lastRenderedPageBreak/>
        <w:t xml:space="preserve">SOP-BGC-5 </w:t>
      </w:r>
    </w:p>
    <w:p w:rsidR="00A175EB" w:rsidRDefault="003E285D">
      <w:pPr>
        <w:spacing w:after="0" w:line="259" w:lineRule="auto"/>
        <w:ind w:left="10" w:right="360" w:hanging="10"/>
        <w:jc w:val="center"/>
      </w:pPr>
      <w:r>
        <w:rPr>
          <w:b/>
        </w:rPr>
        <w:t xml:space="preserve">RESIGNATIONS AND REMOVALS </w:t>
      </w:r>
    </w:p>
    <w:p w:rsidR="00A175EB" w:rsidRDefault="003E285D">
      <w:pPr>
        <w:spacing w:after="0" w:line="259" w:lineRule="auto"/>
        <w:ind w:left="0" w:right="0" w:firstLine="0"/>
        <w:jc w:val="left"/>
      </w:pPr>
      <w:r>
        <w:rPr>
          <w:b/>
        </w:rPr>
        <w:t xml:space="preserve"> </w:t>
      </w:r>
    </w:p>
    <w:p w:rsidR="00A175EB" w:rsidRDefault="003E285D">
      <w:pPr>
        <w:pStyle w:val="Heading1"/>
        <w:ind w:left="-5" w:right="0"/>
        <w:jc w:val="left"/>
      </w:pPr>
      <w:r>
        <w:t>Section 1.  Resignations</w:t>
      </w:r>
      <w:r>
        <w:rPr>
          <w:b w:val="0"/>
        </w:rPr>
        <w:t xml:space="preserve"> </w:t>
      </w:r>
    </w:p>
    <w:p w:rsidR="00A175EB" w:rsidRDefault="003E285D">
      <w:pPr>
        <w:ind w:left="715" w:right="358"/>
      </w:pPr>
      <w:r>
        <w:t xml:space="preserve">(a) A letter of resignation shall be submitted to the Guardian Secretary who shall notify the Bethel Guardian.  The Bethel Guardian shall immediately call a meeting of the Executive members who shall take action on the resignation.  The Bethel Guardian shall then notify the Grand Guardian, or the Supreme Guardian for Bethels under Supreme, and the member who resigned of the action taken. </w:t>
      </w:r>
    </w:p>
    <w:p w:rsidR="00A175EB" w:rsidRDefault="003E285D">
      <w:pPr>
        <w:spacing w:after="0" w:line="259" w:lineRule="auto"/>
        <w:ind w:left="0" w:right="0" w:firstLine="0"/>
        <w:jc w:val="left"/>
      </w:pPr>
      <w:r>
        <w:t xml:space="preserve"> </w:t>
      </w:r>
    </w:p>
    <w:p w:rsidR="00A175EB" w:rsidRDefault="003E285D">
      <w:pPr>
        <w:pStyle w:val="Heading1"/>
        <w:ind w:left="-5" w:right="0"/>
        <w:jc w:val="left"/>
      </w:pPr>
      <w:r>
        <w:t>Section 2.  Removal of an Executive Member</w:t>
      </w:r>
      <w:r>
        <w:rPr>
          <w:b w:val="0"/>
        </w:rPr>
        <w:t xml:space="preserve"> </w:t>
      </w:r>
    </w:p>
    <w:p w:rsidR="00A175EB" w:rsidRDefault="003E285D">
      <w:pPr>
        <w:ind w:left="715" w:right="360"/>
      </w:pPr>
      <w:r>
        <w:t xml:space="preserve">(a) In the event of the removal from office of one or more Executive members of the BGC by the Grand Guardian, or the Supreme Guardian for Bethels under Supreme, the Grand Guardian or Supreme Guardian shall select and appoint those necessary to fill vacancies caused by such removal.  She shall advise the remaining members of the BGC and the Grand/Supreme Deputy of her actions.  </w:t>
      </w:r>
    </w:p>
    <w:p w:rsidR="00A175EB" w:rsidRDefault="003E285D">
      <w:pPr>
        <w:spacing w:after="0" w:line="259" w:lineRule="auto"/>
        <w:ind w:left="0" w:right="0" w:firstLine="0"/>
        <w:jc w:val="left"/>
      </w:pPr>
      <w:r>
        <w:t xml:space="preserve"> </w:t>
      </w:r>
    </w:p>
    <w:p w:rsidR="00A175EB" w:rsidRDefault="003E285D">
      <w:pPr>
        <w:pStyle w:val="Heading1"/>
        <w:ind w:left="-5" w:right="0"/>
        <w:jc w:val="left"/>
      </w:pPr>
      <w:r>
        <w:t>Section 3.  Automatic Removal</w:t>
      </w:r>
      <w:r>
        <w:rPr>
          <w:b w:val="0"/>
        </w:rPr>
        <w:t xml:space="preserve"> </w:t>
      </w:r>
    </w:p>
    <w:p w:rsidR="00A175EB" w:rsidRDefault="003E285D">
      <w:pPr>
        <w:numPr>
          <w:ilvl w:val="0"/>
          <w:numId w:val="3"/>
        </w:numPr>
        <w:ind w:right="360" w:hanging="720"/>
      </w:pPr>
      <w:r>
        <w:t>An Executive member who fails to attend three (3) Bethel meetings or three (3) meetings of the BGC, except in case of illness or unavoidable absence, is automatically removed.  (See SOP-BGC-6 and B-GGC Art. X</w:t>
      </w:r>
      <w:r w:rsidR="008B1C5B">
        <w:t xml:space="preserve">III </w:t>
      </w:r>
      <w:r>
        <w:t>Sec. 1.1</w:t>
      </w:r>
      <w:r w:rsidR="008B1C5B">
        <w:t>5</w:t>
      </w:r>
      <w:r>
        <w:t xml:space="preserve">) </w:t>
      </w:r>
    </w:p>
    <w:p w:rsidR="00A175EB" w:rsidRDefault="003E285D">
      <w:pPr>
        <w:numPr>
          <w:ilvl w:val="0"/>
          <w:numId w:val="3"/>
        </w:numPr>
        <w:ind w:right="360" w:hanging="720"/>
      </w:pPr>
      <w:r>
        <w:t>An Associate member who is invited to attend all meetings of the BGC and fails to attend three (3) Bethel meetings or three (3) meetings of the BGC, except in case of illness or unavoidable absence, is automatically removed.  (See SOP-BGC-6 and B-GGC Art. X</w:t>
      </w:r>
      <w:r w:rsidR="008B1C5B">
        <w:t>III</w:t>
      </w:r>
      <w:r>
        <w:t xml:space="preserve"> Sec. 1.1</w:t>
      </w:r>
      <w:r w:rsidR="008B1C5B">
        <w:t>5</w:t>
      </w:r>
      <w:r>
        <w:t xml:space="preserve">) </w:t>
      </w:r>
    </w:p>
    <w:p w:rsidR="00A175EB" w:rsidRDefault="003E285D">
      <w:pPr>
        <w:numPr>
          <w:ilvl w:val="0"/>
          <w:numId w:val="3"/>
        </w:numPr>
        <w:ind w:right="360" w:hanging="720"/>
      </w:pPr>
      <w:r>
        <w:t>An Associate member who is not invited to attend all meetings of the BGC and fails to attend three (3) Bethel meetings, except in case of illness or unavoidable absence, is automatically removed.  (See SOPBGC-6 and B-GGC Art. X</w:t>
      </w:r>
      <w:r w:rsidR="008B1C5B">
        <w:t>III</w:t>
      </w:r>
      <w:r>
        <w:t xml:space="preserve"> Sec. 1.1</w:t>
      </w:r>
      <w:r w:rsidR="008B1C5B">
        <w:t>5</w:t>
      </w: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259"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182500" w:rsidRDefault="00182500">
      <w:pPr>
        <w:spacing w:after="0" w:line="259" w:lineRule="auto"/>
        <w:ind w:left="0" w:right="310" w:firstLine="0"/>
        <w:jc w:val="center"/>
        <w:rPr>
          <w:b/>
        </w:rPr>
      </w:pPr>
    </w:p>
    <w:p w:rsidR="00182500" w:rsidRDefault="00182500">
      <w:pPr>
        <w:spacing w:after="0" w:line="259" w:lineRule="auto"/>
        <w:ind w:left="0" w:right="310" w:firstLine="0"/>
        <w:jc w:val="center"/>
        <w:rPr>
          <w:b/>
        </w:rPr>
      </w:pPr>
    </w:p>
    <w:p w:rsidR="00182500" w:rsidRDefault="00182500">
      <w:pPr>
        <w:spacing w:after="0" w:line="259" w:lineRule="auto"/>
        <w:ind w:left="0" w:right="310" w:firstLine="0"/>
        <w:jc w:val="center"/>
        <w:rPr>
          <w:b/>
        </w:rPr>
      </w:pPr>
    </w:p>
    <w:p w:rsidR="00182500" w:rsidRDefault="00182500">
      <w:pPr>
        <w:spacing w:after="0" w:line="259" w:lineRule="auto"/>
        <w:ind w:left="0" w:right="310" w:firstLine="0"/>
        <w:jc w:val="center"/>
        <w:rPr>
          <w:b/>
        </w:rPr>
      </w:pP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p w:rsidR="00A175EB" w:rsidRDefault="00A175EB">
      <w:pPr>
        <w:spacing w:after="0" w:line="259" w:lineRule="auto"/>
        <w:ind w:left="0" w:right="310" w:firstLine="0"/>
        <w:jc w:val="center"/>
      </w:pPr>
    </w:p>
    <w:p w:rsidR="00A175EB" w:rsidRDefault="003E285D">
      <w:pPr>
        <w:spacing w:after="0" w:line="259" w:lineRule="auto"/>
        <w:ind w:left="0" w:right="310" w:firstLine="0"/>
        <w:jc w:val="center"/>
      </w:pPr>
      <w:r>
        <w:rPr>
          <w:b/>
        </w:rPr>
        <w:t xml:space="preserve"> </w:t>
      </w:r>
    </w:p>
    <w:p w:rsidR="00A175EB" w:rsidRPr="002E2AB7" w:rsidRDefault="003E285D" w:rsidP="00F0023F">
      <w:pPr>
        <w:spacing w:after="0" w:line="259" w:lineRule="auto"/>
        <w:ind w:left="0" w:right="310" w:firstLine="0"/>
        <w:jc w:val="right"/>
      </w:pPr>
      <w:r w:rsidRPr="002E2AB7">
        <w:t xml:space="preserve"> </w:t>
      </w:r>
      <w:r w:rsidR="00616EC2" w:rsidRPr="002E2AB7">
        <w:t xml:space="preserve">MI-SOP-BGC-5 </w:t>
      </w:r>
    </w:p>
    <w:p w:rsidR="00A175EB" w:rsidRDefault="003E285D">
      <w:pPr>
        <w:spacing w:after="0" w:line="259" w:lineRule="auto"/>
        <w:ind w:left="10" w:right="360" w:hanging="10"/>
        <w:jc w:val="center"/>
      </w:pPr>
      <w:r>
        <w:rPr>
          <w:b/>
        </w:rPr>
        <w:lastRenderedPageBreak/>
        <w:t xml:space="preserve">SOP-BGC-6 </w:t>
      </w:r>
    </w:p>
    <w:p w:rsidR="00A175EB" w:rsidRDefault="003E285D">
      <w:pPr>
        <w:pStyle w:val="Heading1"/>
        <w:ind w:right="361"/>
      </w:pPr>
      <w:r>
        <w:t xml:space="preserve">VACANCIES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5" w:right="0" w:hanging="10"/>
        <w:jc w:val="left"/>
      </w:pPr>
      <w:r>
        <w:rPr>
          <w:b/>
        </w:rPr>
        <w:t>Section 1.</w:t>
      </w:r>
      <w:r>
        <w:t xml:space="preserve"> </w:t>
      </w:r>
    </w:p>
    <w:p w:rsidR="00A175EB" w:rsidRDefault="003E285D">
      <w:pPr>
        <w:numPr>
          <w:ilvl w:val="0"/>
          <w:numId w:val="4"/>
        </w:numPr>
        <w:ind w:right="66" w:hanging="721"/>
      </w:pPr>
      <w:r>
        <w:t>When any vacancy occurs on a BGC, the Bethel Guardian or the Guardian Secretary shall immediately notify the Grand Guardian and Grand Deputy for Bethels under a GGC or the Supreme Guardian and Supreme Deputy for Bethels under Supreme.  If requested to do so by the Grand Guardian or Grand Deputy or Supreme Guardian or Supreme Deputy as appropriate, the remaining Executive Members of the BGC shall recommend to the Grand Guardian or the Supreme Guardian the name of an eligible person for appointment to the office vacated.  (See B-GGC Art. X</w:t>
      </w:r>
      <w:r w:rsidR="008B1C5B">
        <w:t>III</w:t>
      </w:r>
      <w:r>
        <w:t xml:space="preserve"> Sec. 1.1</w:t>
      </w:r>
      <w:r w:rsidR="008B1C5B">
        <w:t>3</w:t>
      </w:r>
      <w:bookmarkStart w:id="0" w:name="_GoBack"/>
      <w:bookmarkEnd w:id="0"/>
      <w:r>
        <w:t xml:space="preserve">) </w:t>
      </w:r>
    </w:p>
    <w:p w:rsidR="00A175EB" w:rsidRDefault="003E285D">
      <w:pPr>
        <w:numPr>
          <w:ilvl w:val="0"/>
          <w:numId w:val="4"/>
        </w:numPr>
        <w:ind w:right="66" w:hanging="721"/>
      </w:pPr>
      <w:r>
        <w:t xml:space="preserve">The Grand Guardian or the Supreme Guardian shall make appointments to fill vacancies in a BGC. </w:t>
      </w:r>
    </w:p>
    <w:p w:rsidR="00A175EB" w:rsidRDefault="003E285D">
      <w:pPr>
        <w:numPr>
          <w:ilvl w:val="0"/>
          <w:numId w:val="4"/>
        </w:numPr>
        <w:ind w:right="66" w:hanging="721"/>
      </w:pPr>
      <w:r>
        <w:t xml:space="preserve">Those appointed shall be installed at the next regular Bethel meeting, or as soon as convenient, after receipt of the Certificate of Appointment. </w:t>
      </w:r>
    </w:p>
    <w:p w:rsidR="00A175EB" w:rsidRDefault="003E285D">
      <w:pPr>
        <w:numPr>
          <w:ilvl w:val="0"/>
          <w:numId w:val="4"/>
        </w:numPr>
        <w:ind w:right="66" w:hanging="721"/>
      </w:pPr>
      <w:r>
        <w:t xml:space="preserve">If the office of Bethel Guardian becomes vacant for any cause, the Associate Bethel Guardian assumes her duties and responsibilities until her successor is appointed and installed. </w:t>
      </w:r>
    </w:p>
    <w:p w:rsidR="00A175EB" w:rsidRDefault="003E285D">
      <w:pPr>
        <w:numPr>
          <w:ilvl w:val="0"/>
          <w:numId w:val="4"/>
        </w:numPr>
        <w:ind w:right="66" w:hanging="721"/>
      </w:pPr>
      <w:r>
        <w:t xml:space="preserve">See SOP-BGC-5, for resignation and removal procedures.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rPr>
          <w:b/>
        </w:rPr>
      </w:pPr>
      <w:r>
        <w:rPr>
          <w:b/>
        </w:rPr>
        <w:t xml:space="preserve"> </w:t>
      </w:r>
    </w:p>
    <w:p w:rsidR="00182500" w:rsidRDefault="00182500">
      <w:pPr>
        <w:spacing w:after="0" w:line="259" w:lineRule="auto"/>
        <w:ind w:left="0" w:right="0" w:firstLine="0"/>
        <w:jc w:val="left"/>
        <w:rPr>
          <w:b/>
        </w:rPr>
      </w:pPr>
    </w:p>
    <w:p w:rsidR="00182500" w:rsidRDefault="00182500">
      <w:pPr>
        <w:spacing w:after="0" w:line="259" w:lineRule="auto"/>
        <w:ind w:left="0" w:right="0" w:firstLine="0"/>
        <w:jc w:val="left"/>
        <w:rPr>
          <w:b/>
        </w:rPr>
      </w:pPr>
    </w:p>
    <w:p w:rsidR="00182500" w:rsidRDefault="00182500">
      <w:pPr>
        <w:spacing w:after="0" w:line="259" w:lineRule="auto"/>
        <w:ind w:left="0" w:right="0" w:firstLine="0"/>
        <w:jc w:val="left"/>
        <w:rPr>
          <w:b/>
        </w:rPr>
      </w:pP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Default="003E285D">
      <w:pPr>
        <w:spacing w:after="0" w:line="259" w:lineRule="auto"/>
        <w:ind w:left="0" w:right="0" w:firstLine="0"/>
        <w:jc w:val="left"/>
      </w:pPr>
      <w:r>
        <w:rPr>
          <w:b/>
        </w:rPr>
        <w:t xml:space="preserve"> </w:t>
      </w:r>
    </w:p>
    <w:p w:rsidR="00A175EB" w:rsidRPr="002E2AB7" w:rsidRDefault="003E285D">
      <w:pPr>
        <w:spacing w:after="0" w:line="259" w:lineRule="auto"/>
        <w:ind w:left="0" w:right="0" w:firstLine="0"/>
        <w:jc w:val="left"/>
      </w:pPr>
      <w:r>
        <w:rPr>
          <w:b/>
        </w:rPr>
        <w:t xml:space="preserve"> </w:t>
      </w:r>
    </w:p>
    <w:p w:rsidR="002E2AB7" w:rsidRDefault="002E2AB7">
      <w:pPr>
        <w:spacing w:after="0" w:line="265" w:lineRule="auto"/>
        <w:ind w:left="10" w:right="-15" w:hanging="10"/>
        <w:jc w:val="right"/>
      </w:pPr>
    </w:p>
    <w:p w:rsidR="002E2AB7" w:rsidRDefault="002E2AB7">
      <w:pPr>
        <w:spacing w:after="0" w:line="265" w:lineRule="auto"/>
        <w:ind w:left="10" w:right="-15" w:hanging="10"/>
        <w:jc w:val="right"/>
      </w:pPr>
    </w:p>
    <w:p w:rsidR="002E2AB7" w:rsidRDefault="002E2AB7">
      <w:pPr>
        <w:spacing w:after="0" w:line="265" w:lineRule="auto"/>
        <w:ind w:left="10" w:right="-15" w:hanging="10"/>
        <w:jc w:val="right"/>
      </w:pPr>
    </w:p>
    <w:p w:rsidR="002E2AB7" w:rsidRDefault="002E2AB7">
      <w:pPr>
        <w:spacing w:after="0" w:line="265" w:lineRule="auto"/>
        <w:ind w:left="10" w:right="-15" w:hanging="10"/>
        <w:jc w:val="right"/>
      </w:pPr>
    </w:p>
    <w:p w:rsidR="00A175EB" w:rsidRPr="002E2AB7" w:rsidRDefault="00616EC2">
      <w:pPr>
        <w:spacing w:after="0" w:line="265" w:lineRule="auto"/>
        <w:ind w:left="10" w:right="-15" w:hanging="10"/>
        <w:jc w:val="right"/>
      </w:pPr>
      <w:r w:rsidRPr="002E2AB7">
        <w:t>MI-</w:t>
      </w:r>
      <w:r w:rsidR="002E2AB7">
        <w:t xml:space="preserve">SOP-BGC 6 </w:t>
      </w:r>
      <w:r w:rsidR="003E285D" w:rsidRPr="002E2AB7">
        <w:t xml:space="preserve"> </w:t>
      </w:r>
    </w:p>
    <w:sectPr w:rsidR="00A175EB" w:rsidRPr="002E2AB7">
      <w:headerReference w:type="even" r:id="rId10"/>
      <w:headerReference w:type="default" r:id="rId11"/>
      <w:footerReference w:type="even" r:id="rId12"/>
      <w:headerReference w:type="first" r:id="rId13"/>
      <w:footerReference w:type="first" r:id="rId14"/>
      <w:pgSz w:w="12240" w:h="15840"/>
      <w:pgMar w:top="1941" w:right="1080" w:bottom="1489" w:left="1440" w:header="72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2C" w:rsidRDefault="003C1F2C">
      <w:pPr>
        <w:spacing w:after="0" w:line="240" w:lineRule="auto"/>
      </w:pPr>
      <w:r>
        <w:separator/>
      </w:r>
    </w:p>
  </w:endnote>
  <w:endnote w:type="continuationSeparator" w:id="0">
    <w:p w:rsidR="003C1F2C" w:rsidRDefault="003C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B" w:rsidRDefault="00A175EB">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B" w:rsidRDefault="00A175E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2C" w:rsidRDefault="003C1F2C">
      <w:pPr>
        <w:spacing w:after="0" w:line="240" w:lineRule="auto"/>
      </w:pPr>
      <w:r>
        <w:separator/>
      </w:r>
    </w:p>
  </w:footnote>
  <w:footnote w:type="continuationSeparator" w:id="0">
    <w:p w:rsidR="003C1F2C" w:rsidRDefault="003C1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B" w:rsidRDefault="003E285D">
    <w:pPr>
      <w:spacing w:after="503" w:line="259" w:lineRule="auto"/>
      <w:ind w:left="0" w:right="0" w:firstLine="0"/>
      <w:jc w:val="left"/>
    </w:pPr>
    <w:r>
      <w:rPr>
        <w:b/>
      </w:rPr>
      <w:t xml:space="preserve"> </w:t>
    </w:r>
  </w:p>
  <w:p w:rsidR="00A175EB" w:rsidRDefault="003E285D">
    <w:pPr>
      <w:spacing w:after="12" w:line="259" w:lineRule="auto"/>
      <w:ind w:left="0" w:right="359" w:firstLine="0"/>
      <w:jc w:val="center"/>
    </w:pPr>
    <w:r>
      <w:rPr>
        <w:b/>
      </w:rPr>
      <w:t xml:space="preserve">2016                                                                                                       Standard Operating Procedures - BGC </w:t>
    </w:r>
  </w:p>
  <w:p w:rsidR="00A175EB" w:rsidRDefault="003E285D">
    <w:pPr>
      <w:spacing w:after="0" w:line="259" w:lineRule="auto"/>
      <w:ind w:left="0" w:right="310"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B" w:rsidRDefault="003E285D">
    <w:pPr>
      <w:spacing w:after="470" w:line="259" w:lineRule="auto"/>
      <w:ind w:left="0" w:right="0" w:firstLine="0"/>
      <w:jc w:val="left"/>
    </w:pPr>
    <w:r>
      <w:rPr>
        <w:b/>
      </w:rPr>
      <w:t xml:space="preserve"> </w:t>
    </w:r>
  </w:p>
  <w:p w:rsidR="00A175EB" w:rsidRDefault="00044C3D" w:rsidP="00182500">
    <w:pPr>
      <w:spacing w:after="12" w:line="259" w:lineRule="auto"/>
      <w:ind w:left="0" w:right="81" w:firstLine="0"/>
    </w:pPr>
    <w:r>
      <w:rPr>
        <w:b/>
      </w:rPr>
      <w:t>201</w:t>
    </w:r>
    <w:r w:rsidR="00182500">
      <w:rPr>
        <w:b/>
      </w:rPr>
      <w:t>9</w:t>
    </w:r>
    <w:r>
      <w:rPr>
        <w:b/>
      </w:rPr>
      <w:tab/>
    </w:r>
    <w:r>
      <w:rPr>
        <w:b/>
      </w:rPr>
      <w:tab/>
    </w:r>
    <w:r>
      <w:rPr>
        <w:b/>
      </w:rPr>
      <w:tab/>
    </w:r>
    <w:r>
      <w:rPr>
        <w:b/>
      </w:rPr>
      <w:tab/>
    </w:r>
    <w:r>
      <w:rPr>
        <w:b/>
      </w:rPr>
      <w:tab/>
    </w:r>
    <w:r>
      <w:rPr>
        <w:b/>
      </w:rPr>
      <w:tab/>
    </w:r>
    <w:r>
      <w:rPr>
        <w:b/>
      </w:rPr>
      <w:tab/>
    </w:r>
    <w:r>
      <w:rPr>
        <w:b/>
      </w:rPr>
      <w:tab/>
    </w:r>
    <w:r>
      <w:rPr>
        <w:b/>
      </w:rPr>
      <w:tab/>
    </w:r>
    <w:r>
      <w:rPr>
        <w:b/>
      </w:rPr>
      <w:tab/>
    </w:r>
    <w:r>
      <w:rPr>
        <w:b/>
      </w:rPr>
      <w:tab/>
      <w:t>MI-SOP-BGC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B" w:rsidRDefault="003E285D">
    <w:pPr>
      <w:spacing w:after="470" w:line="259" w:lineRule="auto"/>
      <w:ind w:left="0" w:right="0" w:firstLine="0"/>
      <w:jc w:val="left"/>
    </w:pPr>
    <w:r>
      <w:rPr>
        <w:b/>
      </w:rPr>
      <w:t xml:space="preserve"> </w:t>
    </w:r>
  </w:p>
  <w:p w:rsidR="00A175EB" w:rsidRDefault="003E285D">
    <w:pPr>
      <w:spacing w:after="12" w:line="259" w:lineRule="auto"/>
      <w:ind w:left="0" w:right="359" w:firstLine="0"/>
      <w:jc w:val="center"/>
    </w:pPr>
    <w:r>
      <w:rPr>
        <w:b/>
      </w:rPr>
      <w:t xml:space="preserve">2016                                                                                                       Standard Operating Procedures - BGC </w:t>
    </w:r>
  </w:p>
  <w:p w:rsidR="00A175EB" w:rsidRDefault="003E285D">
    <w:pPr>
      <w:spacing w:after="0" w:line="259" w:lineRule="auto"/>
      <w:ind w:left="0" w:right="310" w:firstLine="0"/>
      <w:jc w:val="center"/>
    </w:pPr>
    <w:r>
      <w:rPr>
        <w:b/>
      </w:rPr>
      <w:t xml:space="preserve"> </w:t>
    </w:r>
  </w:p>
  <w:p w:rsidR="00A175EB" w:rsidRDefault="003E285D">
    <w:pPr>
      <w:spacing w:after="0" w:line="259" w:lineRule="auto"/>
      <w:ind w:left="0" w:right="310"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650"/>
    <w:multiLevelType w:val="hybridMultilevel"/>
    <w:tmpl w:val="2146C8B0"/>
    <w:lvl w:ilvl="0" w:tplc="C5025122">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B097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2DB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2C58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5406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D6DD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84D1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3058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490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30D7DE0"/>
    <w:multiLevelType w:val="hybridMultilevel"/>
    <w:tmpl w:val="9CAC10CA"/>
    <w:lvl w:ilvl="0" w:tplc="5E242A1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967F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CEB9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427D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50F9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0644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5AC8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1635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584F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F471171"/>
    <w:multiLevelType w:val="hybridMultilevel"/>
    <w:tmpl w:val="8932E6EC"/>
    <w:lvl w:ilvl="0" w:tplc="91A018E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B034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748E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9A52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AA81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9EF1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FED3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926B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7C65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54DC3958"/>
    <w:multiLevelType w:val="hybridMultilevel"/>
    <w:tmpl w:val="4112DB56"/>
    <w:lvl w:ilvl="0" w:tplc="FEA4A77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66DD84">
      <w:start w:val="1"/>
      <w:numFmt w:val="decimal"/>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0267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608B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1CAA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2624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B2D2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30FA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B8FF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EB"/>
    <w:rsid w:val="0003799C"/>
    <w:rsid w:val="00044C3D"/>
    <w:rsid w:val="00085B47"/>
    <w:rsid w:val="000C6B27"/>
    <w:rsid w:val="00182500"/>
    <w:rsid w:val="002A1368"/>
    <w:rsid w:val="002E22E6"/>
    <w:rsid w:val="002E2AB7"/>
    <w:rsid w:val="003C1F2C"/>
    <w:rsid w:val="003E285D"/>
    <w:rsid w:val="00593426"/>
    <w:rsid w:val="00616EC2"/>
    <w:rsid w:val="006E038B"/>
    <w:rsid w:val="008B1C5B"/>
    <w:rsid w:val="008B744E"/>
    <w:rsid w:val="0092330A"/>
    <w:rsid w:val="00A175EB"/>
    <w:rsid w:val="00A71DE8"/>
    <w:rsid w:val="00C6207B"/>
    <w:rsid w:val="00D56409"/>
    <w:rsid w:val="00D91E88"/>
    <w:rsid w:val="00E80AB7"/>
    <w:rsid w:val="00ED709F"/>
    <w:rsid w:val="00EF5CD3"/>
    <w:rsid w:val="00F0023F"/>
    <w:rsid w:val="00FF0D01"/>
    <w:rsid w:val="00FF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730" w:right="79" w:hanging="7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84"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Footer">
    <w:name w:val="footer"/>
    <w:basedOn w:val="Normal"/>
    <w:link w:val="FooterChar"/>
    <w:uiPriority w:val="99"/>
    <w:unhideWhenUsed/>
    <w:rsid w:val="008B744E"/>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8B744E"/>
    <w:rPr>
      <w:rFonts w:cs="Times New Roman"/>
    </w:rPr>
  </w:style>
  <w:style w:type="paragraph" w:styleId="Header">
    <w:name w:val="header"/>
    <w:basedOn w:val="Normal"/>
    <w:link w:val="HeaderChar"/>
    <w:uiPriority w:val="99"/>
    <w:unhideWhenUsed/>
    <w:rsid w:val="008B744E"/>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8B744E"/>
    <w:rPr>
      <w:rFonts w:cs="Times New Roman"/>
    </w:rPr>
  </w:style>
  <w:style w:type="paragraph" w:styleId="BalloonText">
    <w:name w:val="Balloon Text"/>
    <w:basedOn w:val="Normal"/>
    <w:link w:val="BalloonTextChar"/>
    <w:uiPriority w:val="99"/>
    <w:semiHidden/>
    <w:unhideWhenUsed/>
    <w:rsid w:val="00D91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88"/>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730" w:right="79" w:hanging="7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84"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Footer">
    <w:name w:val="footer"/>
    <w:basedOn w:val="Normal"/>
    <w:link w:val="FooterChar"/>
    <w:uiPriority w:val="99"/>
    <w:unhideWhenUsed/>
    <w:rsid w:val="008B744E"/>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8B744E"/>
    <w:rPr>
      <w:rFonts w:cs="Times New Roman"/>
    </w:rPr>
  </w:style>
  <w:style w:type="paragraph" w:styleId="Header">
    <w:name w:val="header"/>
    <w:basedOn w:val="Normal"/>
    <w:link w:val="HeaderChar"/>
    <w:uiPriority w:val="99"/>
    <w:unhideWhenUsed/>
    <w:rsid w:val="008B744E"/>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8B744E"/>
    <w:rPr>
      <w:rFonts w:cs="Times New Roman"/>
    </w:rPr>
  </w:style>
  <w:style w:type="paragraph" w:styleId="BalloonText">
    <w:name w:val="Balloon Text"/>
    <w:basedOn w:val="Normal"/>
    <w:link w:val="BalloonTextChar"/>
    <w:uiPriority w:val="99"/>
    <w:semiHidden/>
    <w:unhideWhenUsed/>
    <w:rsid w:val="00D91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8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MI-SOP-BGC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FAC39-FC16-42D4-AB20-D056E8F2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2016</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dc:title>
  <dc:creator>Ron Johnson</dc:creator>
  <cp:lastModifiedBy>Ken</cp:lastModifiedBy>
  <cp:revision>4</cp:revision>
  <cp:lastPrinted>2020-02-07T16:44:00Z</cp:lastPrinted>
  <dcterms:created xsi:type="dcterms:W3CDTF">2020-02-07T16:47:00Z</dcterms:created>
  <dcterms:modified xsi:type="dcterms:W3CDTF">2020-02-10T16:51:00Z</dcterms:modified>
</cp:coreProperties>
</file>